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A90D" w14:textId="77777777" w:rsidR="007554E0" w:rsidRDefault="007554E0" w:rsidP="007554E0">
      <w:pPr>
        <w:rPr>
          <w:rFonts w:ascii="Verdana" w:hAnsi="Verdana"/>
          <w:b/>
          <w:color w:val="333333"/>
          <w:sz w:val="20"/>
          <w:szCs w:val="20"/>
          <w:shd w:val="clear" w:color="auto" w:fill="FFFFFF"/>
        </w:rPr>
      </w:pPr>
      <w:r>
        <w:rPr>
          <w:rFonts w:ascii="Verdana" w:hAnsi="Verdana"/>
          <w:b/>
          <w:color w:val="333333"/>
          <w:sz w:val="20"/>
          <w:szCs w:val="20"/>
          <w:shd w:val="clear" w:color="auto" w:fill="FFFFFF"/>
        </w:rPr>
        <w:t>CLEVELAND and TEESSIDE LOCAL HISTORY SOCIETY</w:t>
      </w:r>
    </w:p>
    <w:p w14:paraId="44FE0AD3" w14:textId="5163C12A" w:rsidR="007554E0" w:rsidRDefault="007554E0" w:rsidP="007554E0">
      <w:pPr>
        <w:rPr>
          <w:rFonts w:ascii="Verdana" w:hAnsi="Verdana"/>
          <w:b/>
          <w:color w:val="333333"/>
          <w:sz w:val="20"/>
          <w:szCs w:val="20"/>
          <w:shd w:val="clear" w:color="auto" w:fill="FFFFFF"/>
        </w:rPr>
      </w:pPr>
      <w:r>
        <w:rPr>
          <w:rFonts w:ascii="Verdana" w:hAnsi="Verdana"/>
          <w:b/>
          <w:color w:val="333333"/>
          <w:sz w:val="20"/>
          <w:szCs w:val="20"/>
          <w:shd w:val="clear" w:color="auto" w:fill="FFFFFF"/>
        </w:rPr>
        <w:t>MEMBERSHIP FEES PROPOSAL</w:t>
      </w:r>
    </w:p>
    <w:p w14:paraId="4A5C0950" w14:textId="77777777" w:rsidR="007554E0" w:rsidRDefault="007554E0" w:rsidP="007554E0">
      <w:pPr>
        <w:rPr>
          <w:rFonts w:ascii="Verdana" w:hAnsi="Verdana"/>
          <w:b/>
          <w:color w:val="333333"/>
          <w:sz w:val="20"/>
          <w:szCs w:val="20"/>
          <w:shd w:val="clear" w:color="auto" w:fill="FFFFFF"/>
        </w:rPr>
      </w:pPr>
    </w:p>
    <w:p w14:paraId="6611709F" w14:textId="23B957E5" w:rsidR="00FF0886" w:rsidRDefault="00FF0886" w:rsidP="007554E0">
      <w:pPr>
        <w:rPr>
          <w:rFonts w:ascii="Verdana" w:hAnsi="Verdana"/>
          <w:b/>
          <w:color w:val="333333"/>
          <w:sz w:val="20"/>
          <w:szCs w:val="20"/>
          <w:shd w:val="clear" w:color="auto" w:fill="FFFFFF"/>
        </w:rPr>
      </w:pPr>
      <w:r>
        <w:rPr>
          <w:rFonts w:ascii="Verdana" w:hAnsi="Verdana"/>
          <w:b/>
          <w:color w:val="333333"/>
          <w:sz w:val="20"/>
          <w:szCs w:val="20"/>
          <w:shd w:val="clear" w:color="auto" w:fill="FFFFFF"/>
        </w:rPr>
        <w:t>The Committee recommend to the Annual General Meeting a proposal to change membership categories and to implement an increase in fees with effect from 1 January 2022.</w:t>
      </w:r>
    </w:p>
    <w:p w14:paraId="53E4D791" w14:textId="77777777" w:rsidR="00FF0886" w:rsidRPr="00B301EA" w:rsidRDefault="00FF0886" w:rsidP="007554E0">
      <w:pPr>
        <w:rPr>
          <w:rFonts w:ascii="Verdana" w:hAnsi="Verdana"/>
          <w:b/>
          <w:color w:val="333333"/>
          <w:sz w:val="20"/>
          <w:szCs w:val="20"/>
          <w:u w:val="single"/>
          <w:shd w:val="clear" w:color="auto" w:fill="FFFFFF"/>
        </w:rPr>
      </w:pPr>
      <w:r w:rsidRPr="00B301EA">
        <w:rPr>
          <w:rFonts w:ascii="Verdana" w:hAnsi="Verdana"/>
          <w:b/>
          <w:color w:val="333333"/>
          <w:sz w:val="20"/>
          <w:szCs w:val="20"/>
          <w:u w:val="single"/>
          <w:shd w:val="clear" w:color="auto" w:fill="FFFFFF"/>
        </w:rPr>
        <w:t>Background</w:t>
      </w:r>
    </w:p>
    <w:p w14:paraId="3BE7809A" w14:textId="77777777" w:rsidR="00FF0886" w:rsidRPr="00B301EA" w:rsidRDefault="00FF0886" w:rsidP="007554E0">
      <w:pPr>
        <w:rPr>
          <w:rFonts w:ascii="Verdana" w:hAnsi="Verdana"/>
          <w:bCs/>
          <w:color w:val="333333"/>
          <w:sz w:val="20"/>
          <w:szCs w:val="20"/>
          <w:shd w:val="clear" w:color="auto" w:fill="FFFFFF"/>
        </w:rPr>
      </w:pPr>
      <w:r w:rsidRPr="00B301EA">
        <w:rPr>
          <w:rFonts w:ascii="Verdana" w:hAnsi="Verdana"/>
          <w:bCs/>
          <w:color w:val="333333"/>
          <w:sz w:val="20"/>
          <w:szCs w:val="20"/>
          <w:shd w:val="clear" w:color="auto" w:fill="FFFFFF"/>
        </w:rPr>
        <w:t>The Society Membership Fees have remained the same since 2012.</w:t>
      </w:r>
    </w:p>
    <w:p w14:paraId="7B7262E7" w14:textId="0412C75E" w:rsidR="00FF0886" w:rsidRPr="00B301EA" w:rsidRDefault="00FF0886" w:rsidP="007554E0">
      <w:pPr>
        <w:rPr>
          <w:rFonts w:ascii="Verdana" w:hAnsi="Verdana"/>
          <w:bCs/>
          <w:color w:val="333333"/>
          <w:sz w:val="20"/>
          <w:szCs w:val="20"/>
          <w:shd w:val="clear" w:color="auto" w:fill="FFFFFF"/>
        </w:rPr>
      </w:pPr>
      <w:r w:rsidRPr="00B301EA">
        <w:rPr>
          <w:rFonts w:ascii="Verdana" w:hAnsi="Verdana"/>
          <w:bCs/>
          <w:color w:val="333333"/>
          <w:sz w:val="20"/>
          <w:szCs w:val="20"/>
          <w:shd w:val="clear" w:color="auto" w:fill="FFFFFF"/>
        </w:rPr>
        <w:t>In recent years there have been some significant increases in the costs faced by the Society, in particular the costs of postage, which has increased by over 30%</w:t>
      </w:r>
      <w:r w:rsidR="00B301EA" w:rsidRPr="00B301EA">
        <w:rPr>
          <w:rFonts w:ascii="Verdana" w:hAnsi="Verdana"/>
          <w:bCs/>
          <w:color w:val="333333"/>
          <w:sz w:val="20"/>
          <w:szCs w:val="20"/>
          <w:shd w:val="clear" w:color="auto" w:fill="FFFFFF"/>
        </w:rPr>
        <w:t xml:space="preserve"> since fees were last amended.</w:t>
      </w:r>
    </w:p>
    <w:p w14:paraId="09725206" w14:textId="77777777" w:rsidR="00FF0886" w:rsidRPr="00B301EA" w:rsidRDefault="00FF0886" w:rsidP="007554E0">
      <w:pPr>
        <w:rPr>
          <w:rFonts w:ascii="Verdana" w:hAnsi="Verdana"/>
          <w:bCs/>
          <w:color w:val="333333"/>
          <w:sz w:val="20"/>
          <w:szCs w:val="20"/>
          <w:shd w:val="clear" w:color="auto" w:fill="FFFFFF"/>
        </w:rPr>
      </w:pPr>
      <w:r w:rsidRPr="00B301EA">
        <w:rPr>
          <w:rFonts w:ascii="Verdana" w:hAnsi="Verdana"/>
          <w:bCs/>
          <w:color w:val="333333"/>
          <w:sz w:val="20"/>
          <w:szCs w:val="20"/>
          <w:shd w:val="clear" w:color="auto" w:fill="FFFFFF"/>
        </w:rPr>
        <w:t xml:space="preserve">The Society Officers have undertaken a review of income and expenditure and have implemented a number of changes to reduce costs - by finding new printers and changing the format of publications – and increase income – by inviting voluntary donations towards speaker costs – whilst maintaining the principle that access to talks will be free of charge. </w:t>
      </w:r>
    </w:p>
    <w:p w14:paraId="164EE15C" w14:textId="77777777" w:rsidR="00FF0886" w:rsidRPr="00B301EA" w:rsidRDefault="00FF0886" w:rsidP="007554E0">
      <w:pPr>
        <w:rPr>
          <w:rFonts w:ascii="Verdana" w:hAnsi="Verdana"/>
          <w:bCs/>
          <w:color w:val="333333"/>
          <w:sz w:val="20"/>
          <w:szCs w:val="20"/>
          <w:shd w:val="clear" w:color="auto" w:fill="FFFFFF"/>
        </w:rPr>
      </w:pPr>
      <w:r w:rsidRPr="00B301EA">
        <w:rPr>
          <w:rFonts w:ascii="Verdana" w:hAnsi="Verdana"/>
          <w:bCs/>
          <w:color w:val="333333"/>
          <w:sz w:val="20"/>
          <w:szCs w:val="20"/>
          <w:shd w:val="clear" w:color="auto" w:fill="FFFFFF"/>
        </w:rPr>
        <w:t>However, the increased costs cannot be sustained and are having a detrimental impact on the Society finances.</w:t>
      </w:r>
    </w:p>
    <w:p w14:paraId="49341ECF" w14:textId="77777777" w:rsidR="00FF0886" w:rsidRPr="00B301EA" w:rsidRDefault="00FF0886" w:rsidP="007554E0">
      <w:pPr>
        <w:rPr>
          <w:rFonts w:ascii="Verdana" w:hAnsi="Verdana"/>
          <w:bCs/>
          <w:color w:val="333333"/>
          <w:sz w:val="20"/>
          <w:szCs w:val="20"/>
          <w:shd w:val="clear" w:color="auto" w:fill="FFFFFF"/>
        </w:rPr>
      </w:pPr>
      <w:r w:rsidRPr="00B301EA">
        <w:rPr>
          <w:rFonts w:ascii="Verdana" w:hAnsi="Verdana"/>
          <w:bCs/>
          <w:color w:val="333333"/>
          <w:sz w:val="20"/>
          <w:szCs w:val="20"/>
          <w:shd w:val="clear" w:color="auto" w:fill="FFFFFF"/>
        </w:rPr>
        <w:t>It is therefore necessary to increase fees.</w:t>
      </w:r>
    </w:p>
    <w:p w14:paraId="09749DC7" w14:textId="7200BFA8" w:rsidR="00B301EA" w:rsidRPr="00B301EA" w:rsidRDefault="00FF0886" w:rsidP="00B301EA">
      <w:pPr>
        <w:rPr>
          <w:rFonts w:ascii="Verdana" w:hAnsi="Verdana"/>
          <w:bCs/>
          <w:color w:val="333333"/>
          <w:sz w:val="20"/>
          <w:szCs w:val="20"/>
        </w:rPr>
      </w:pPr>
      <w:r w:rsidRPr="00B301EA">
        <w:rPr>
          <w:rFonts w:ascii="Verdana" w:hAnsi="Verdana"/>
          <w:bCs/>
          <w:color w:val="333333"/>
          <w:sz w:val="20"/>
          <w:szCs w:val="20"/>
          <w:shd w:val="clear" w:color="auto" w:fill="FFFFFF"/>
        </w:rPr>
        <w:t xml:space="preserve">At the same time the Society Officers </w:t>
      </w:r>
      <w:r w:rsidR="00B301EA" w:rsidRPr="00B301EA">
        <w:rPr>
          <w:rFonts w:ascii="Verdana" w:hAnsi="Verdana"/>
          <w:bCs/>
          <w:color w:val="333333"/>
          <w:sz w:val="20"/>
          <w:szCs w:val="20"/>
          <w:shd w:val="clear" w:color="auto" w:fill="FFFFFF"/>
        </w:rPr>
        <w:t>became aware that the present concessionary rates presented a problem.</w:t>
      </w:r>
    </w:p>
    <w:p w14:paraId="0DA132B2" w14:textId="09ABC753" w:rsidR="00B301EA" w:rsidRPr="00B301EA" w:rsidRDefault="00B301EA" w:rsidP="00B301EA">
      <w:pPr>
        <w:rPr>
          <w:bCs/>
        </w:rPr>
      </w:pPr>
      <w:r w:rsidRPr="00B301EA">
        <w:rPr>
          <w:bCs/>
        </w:rPr>
        <w:t xml:space="preserve">At present there are concessionary rates for (a) a household, (b) ‘pensioners’, (c) ‘pensioner couples’, and ‘full time students / under 18s &amp; unemployed people’. </w:t>
      </w:r>
      <w:r w:rsidR="005765D1">
        <w:rPr>
          <w:bCs/>
        </w:rPr>
        <w:t xml:space="preserve">Some of </w:t>
      </w:r>
      <w:r w:rsidRPr="00B301EA">
        <w:rPr>
          <w:bCs/>
        </w:rPr>
        <w:t xml:space="preserve">these terms present </w:t>
      </w:r>
      <w:r w:rsidR="005765D1">
        <w:rPr>
          <w:bCs/>
        </w:rPr>
        <w:t xml:space="preserve">definitional </w:t>
      </w:r>
      <w:r w:rsidRPr="00B301EA">
        <w:rPr>
          <w:bCs/>
        </w:rPr>
        <w:t>problems</w:t>
      </w:r>
      <w:r w:rsidR="005765D1">
        <w:rPr>
          <w:bCs/>
        </w:rPr>
        <w:t xml:space="preserve">, and reflect outmoded links between the ages at which people may ‘retire’, receive ‘pensions’, and are discriminatory on the basis of age. </w:t>
      </w:r>
    </w:p>
    <w:p w14:paraId="467BE51D" w14:textId="1E0A5E5F" w:rsidR="00B301EA" w:rsidRPr="00B301EA" w:rsidRDefault="00B301EA" w:rsidP="00B301EA">
      <w:pPr>
        <w:rPr>
          <w:bCs/>
        </w:rPr>
      </w:pPr>
      <w:r w:rsidRPr="00B301EA">
        <w:rPr>
          <w:bCs/>
        </w:rPr>
        <w:t xml:space="preserve">The law does not prescribe any age (old or young) at which concession rates apply - that decision rests with an organisation. </w:t>
      </w:r>
    </w:p>
    <w:p w14:paraId="1A11724A" w14:textId="2257F75C" w:rsidR="00B301EA" w:rsidRPr="00B301EA" w:rsidRDefault="00B301EA" w:rsidP="00B301EA">
      <w:pPr>
        <w:rPr>
          <w:bCs/>
        </w:rPr>
      </w:pPr>
      <w:r w:rsidRPr="00B301EA">
        <w:rPr>
          <w:bCs/>
        </w:rPr>
        <w:t>H</w:t>
      </w:r>
      <w:r w:rsidR="000A620D">
        <w:rPr>
          <w:bCs/>
        </w:rPr>
        <w:t>aving</w:t>
      </w:r>
      <w:r w:rsidRPr="00B301EA">
        <w:rPr>
          <w:bCs/>
        </w:rPr>
        <w:t xml:space="preserve"> given the matter careful consideration, and taking account of best practice and legislative guidance, the Officers are of the view that concessionary rates be removed for all but ‘fulltime students/under18s/registered unemployed’.</w:t>
      </w:r>
    </w:p>
    <w:p w14:paraId="3924ED1B" w14:textId="3CB8CC55" w:rsidR="00FF0886" w:rsidRPr="00C3709D" w:rsidRDefault="00C3709D" w:rsidP="007554E0">
      <w:pPr>
        <w:rPr>
          <w:b/>
          <w:bCs/>
          <w:u w:val="single"/>
        </w:rPr>
      </w:pPr>
      <w:r>
        <w:rPr>
          <w:b/>
          <w:bCs/>
          <w:u w:val="single"/>
        </w:rPr>
        <w:t>Recommendation</w:t>
      </w:r>
    </w:p>
    <w:p w14:paraId="06992ABC" w14:textId="4B501AEE" w:rsidR="00B301EA" w:rsidRDefault="00B301EA" w:rsidP="007554E0">
      <w:r>
        <w:t>To address the need to increase income in line with costs and to harmonise our membership categories, it is recommended that the membership categories and fee rates set out below be adopted from 1 January 2022.</w:t>
      </w:r>
    </w:p>
    <w:p w14:paraId="661E5966" w14:textId="7FAB07D4" w:rsidR="00FF0886" w:rsidRDefault="000A620D" w:rsidP="007554E0">
      <w:r>
        <w:t>However, r</w:t>
      </w:r>
      <w:r w:rsidR="00B301EA">
        <w:t>ecognising that those Members</w:t>
      </w:r>
      <w:r w:rsidR="00C3709D">
        <w:t xml:space="preserve"> currently</w:t>
      </w:r>
      <w:r w:rsidR="00B301EA">
        <w:t xml:space="preserve"> </w:t>
      </w:r>
      <w:r w:rsidR="00C3709D">
        <w:t>i</w:t>
      </w:r>
      <w:r w:rsidR="00B301EA">
        <w:t xml:space="preserve">n receipt of concessionary rates would be </w:t>
      </w:r>
      <w:r w:rsidR="00C3709D">
        <w:t xml:space="preserve">subject to a disproportionate increase in fees if implemented in full immediately, the proposal makes provision for a phased implementation of the fee increase for those Members: </w:t>
      </w:r>
    </w:p>
    <w:p w14:paraId="5DB077BF" w14:textId="6625A566" w:rsidR="00C3709D" w:rsidRDefault="007B49B8" w:rsidP="00C3709D">
      <w:pPr>
        <w:pStyle w:val="ListParagraph"/>
        <w:numPr>
          <w:ilvl w:val="0"/>
          <w:numId w:val="1"/>
        </w:numPr>
      </w:pPr>
      <w:r w:rsidRPr="007B49B8">
        <w:t xml:space="preserve">Offering all existing Pensioner Members who currently benefit from a concession </w:t>
      </w:r>
      <w:bookmarkStart w:id="0" w:name="_Hlk75699779"/>
      <w:r w:rsidRPr="007B49B8">
        <w:t>a reduced rate in 2022 before being asked to pay the full rate in 202</w:t>
      </w:r>
      <w:r>
        <w:t>3</w:t>
      </w:r>
      <w:bookmarkEnd w:id="0"/>
    </w:p>
    <w:p w14:paraId="531BA0FF" w14:textId="77777777" w:rsidR="007B49B8" w:rsidRDefault="007B49B8" w:rsidP="007B49B8">
      <w:pPr>
        <w:pStyle w:val="ListParagraph"/>
      </w:pPr>
    </w:p>
    <w:p w14:paraId="67EB488C" w14:textId="4D4720A2" w:rsidR="00C3709D" w:rsidRDefault="00C3709D" w:rsidP="00C3709D">
      <w:pPr>
        <w:pStyle w:val="ListParagraph"/>
        <w:numPr>
          <w:ilvl w:val="0"/>
          <w:numId w:val="1"/>
        </w:numPr>
      </w:pPr>
      <w:r>
        <w:lastRenderedPageBreak/>
        <w:t xml:space="preserve">Offering all existing Pensioner Couples </w:t>
      </w:r>
      <w:r w:rsidR="000D7B67" w:rsidRPr="000D7B67">
        <w:t>who currently benefit from a concession a reduced rate in 2022 before being asked to pay the full rate in 2023</w:t>
      </w:r>
    </w:p>
    <w:p w14:paraId="143BAEAD" w14:textId="0B39B8A2" w:rsidR="00C3709D" w:rsidRDefault="00C3709D" w:rsidP="00C3709D">
      <w:r w:rsidRPr="00C3709D">
        <w:t>Please note that Members are being requested to approve Fees for both the year commencing 1 January 2022 and the year commencing 1 January 2023.</w:t>
      </w:r>
    </w:p>
    <w:p w14:paraId="1EF6729D" w14:textId="1A641E1C" w:rsidR="00FF0886" w:rsidRPr="00C3709D" w:rsidRDefault="00C3709D" w:rsidP="007554E0">
      <w:pPr>
        <w:rPr>
          <w:b/>
          <w:bCs/>
          <w:u w:val="single"/>
        </w:rPr>
      </w:pPr>
      <w:r w:rsidRPr="00C3709D">
        <w:rPr>
          <w:b/>
          <w:bCs/>
          <w:u w:val="single"/>
        </w:rPr>
        <w:t>Proposed Fees and Membership Categories from 1 January 2022:</w:t>
      </w:r>
    </w:p>
    <w:tbl>
      <w:tblPr>
        <w:tblStyle w:val="TableGrid"/>
        <w:tblW w:w="0" w:type="auto"/>
        <w:tblLook w:val="04A0" w:firstRow="1" w:lastRow="0" w:firstColumn="1" w:lastColumn="0" w:noHBand="0" w:noVBand="1"/>
      </w:tblPr>
      <w:tblGrid>
        <w:gridCol w:w="5098"/>
        <w:gridCol w:w="1418"/>
        <w:gridCol w:w="1417"/>
        <w:gridCol w:w="1083"/>
      </w:tblGrid>
      <w:tr w:rsidR="00C3709D" w14:paraId="5C9D1379" w14:textId="741270B4" w:rsidTr="00C3709D">
        <w:tc>
          <w:tcPr>
            <w:tcW w:w="5098" w:type="dxa"/>
          </w:tcPr>
          <w:p w14:paraId="16F9886E" w14:textId="522804F7" w:rsidR="00C3709D" w:rsidRPr="00C3709D" w:rsidRDefault="00C3709D" w:rsidP="00FF0886">
            <w:pPr>
              <w:rPr>
                <w:b/>
                <w:bCs/>
              </w:rPr>
            </w:pPr>
            <w:r w:rsidRPr="00C3709D">
              <w:rPr>
                <w:b/>
                <w:bCs/>
              </w:rPr>
              <w:t>Membership Category</w:t>
            </w:r>
          </w:p>
        </w:tc>
        <w:tc>
          <w:tcPr>
            <w:tcW w:w="1418" w:type="dxa"/>
          </w:tcPr>
          <w:p w14:paraId="7DF3A55F" w14:textId="69ACA2B7" w:rsidR="00C3709D" w:rsidRPr="00C3709D" w:rsidRDefault="00C3709D" w:rsidP="00FF0886">
            <w:pPr>
              <w:rPr>
                <w:b/>
                <w:bCs/>
              </w:rPr>
            </w:pPr>
            <w:r w:rsidRPr="00C3709D">
              <w:rPr>
                <w:b/>
                <w:bCs/>
              </w:rPr>
              <w:t>2021</w:t>
            </w:r>
          </w:p>
        </w:tc>
        <w:tc>
          <w:tcPr>
            <w:tcW w:w="1417" w:type="dxa"/>
          </w:tcPr>
          <w:p w14:paraId="071C1D4F" w14:textId="5054100F" w:rsidR="00C3709D" w:rsidRPr="00C3709D" w:rsidRDefault="00C3709D" w:rsidP="00FF0886">
            <w:pPr>
              <w:rPr>
                <w:b/>
                <w:bCs/>
              </w:rPr>
            </w:pPr>
            <w:r w:rsidRPr="00C3709D">
              <w:rPr>
                <w:b/>
                <w:bCs/>
              </w:rPr>
              <w:t>2022</w:t>
            </w:r>
          </w:p>
        </w:tc>
        <w:tc>
          <w:tcPr>
            <w:tcW w:w="1083" w:type="dxa"/>
          </w:tcPr>
          <w:p w14:paraId="027A9C43" w14:textId="05314430" w:rsidR="00C3709D" w:rsidRPr="00C3709D" w:rsidRDefault="00C3709D" w:rsidP="00FF0886">
            <w:pPr>
              <w:rPr>
                <w:b/>
                <w:bCs/>
              </w:rPr>
            </w:pPr>
            <w:r w:rsidRPr="00C3709D">
              <w:rPr>
                <w:b/>
                <w:bCs/>
              </w:rPr>
              <w:t>2023</w:t>
            </w:r>
          </w:p>
        </w:tc>
      </w:tr>
      <w:tr w:rsidR="00C3709D" w14:paraId="3DEB6EEA" w14:textId="34C954FD" w:rsidTr="00C3709D">
        <w:tc>
          <w:tcPr>
            <w:tcW w:w="5098" w:type="dxa"/>
          </w:tcPr>
          <w:p w14:paraId="1100F681" w14:textId="3E37DFDB" w:rsidR="00C3709D" w:rsidRDefault="00C3709D" w:rsidP="00FF0886">
            <w:r>
              <w:t>Individual</w:t>
            </w:r>
          </w:p>
        </w:tc>
        <w:tc>
          <w:tcPr>
            <w:tcW w:w="1418" w:type="dxa"/>
          </w:tcPr>
          <w:p w14:paraId="6CFD7BC4" w14:textId="61534842" w:rsidR="00C3709D" w:rsidRDefault="00C3709D" w:rsidP="00FF0886">
            <w:r>
              <w:t>15</w:t>
            </w:r>
          </w:p>
        </w:tc>
        <w:tc>
          <w:tcPr>
            <w:tcW w:w="1417" w:type="dxa"/>
          </w:tcPr>
          <w:p w14:paraId="5382044A" w14:textId="7113D414" w:rsidR="00C3709D" w:rsidRDefault="00C3709D" w:rsidP="00FF0886">
            <w:r>
              <w:t>18</w:t>
            </w:r>
          </w:p>
        </w:tc>
        <w:tc>
          <w:tcPr>
            <w:tcW w:w="1083" w:type="dxa"/>
          </w:tcPr>
          <w:p w14:paraId="2ACE2C8E" w14:textId="65544191" w:rsidR="00C3709D" w:rsidRDefault="00C3709D" w:rsidP="00FF0886">
            <w:r>
              <w:t>18</w:t>
            </w:r>
          </w:p>
        </w:tc>
      </w:tr>
      <w:tr w:rsidR="00C3709D" w14:paraId="341A62EB" w14:textId="4290085F" w:rsidTr="00C3709D">
        <w:tc>
          <w:tcPr>
            <w:tcW w:w="5098" w:type="dxa"/>
          </w:tcPr>
          <w:p w14:paraId="0C0ACD4B" w14:textId="3D232A64" w:rsidR="00C3709D" w:rsidRDefault="00C3709D" w:rsidP="00FF0886">
            <w:r>
              <w:t>Pre 2022 Pensioners</w:t>
            </w:r>
          </w:p>
        </w:tc>
        <w:tc>
          <w:tcPr>
            <w:tcW w:w="1418" w:type="dxa"/>
          </w:tcPr>
          <w:p w14:paraId="15727843" w14:textId="5D5EA902" w:rsidR="00C3709D" w:rsidRDefault="00C3709D" w:rsidP="00FF0886">
            <w:r>
              <w:t>12</w:t>
            </w:r>
          </w:p>
        </w:tc>
        <w:tc>
          <w:tcPr>
            <w:tcW w:w="1417" w:type="dxa"/>
          </w:tcPr>
          <w:p w14:paraId="637C56CA" w14:textId="2DE3F17C" w:rsidR="00C3709D" w:rsidRDefault="00C3709D" w:rsidP="00FF0886">
            <w:r>
              <w:t>16</w:t>
            </w:r>
          </w:p>
        </w:tc>
        <w:tc>
          <w:tcPr>
            <w:tcW w:w="1083" w:type="dxa"/>
          </w:tcPr>
          <w:p w14:paraId="2A9DF49D" w14:textId="3CF8E5FC" w:rsidR="00C3709D" w:rsidRDefault="00C3709D" w:rsidP="00FF0886">
            <w:r>
              <w:t>18</w:t>
            </w:r>
          </w:p>
        </w:tc>
      </w:tr>
      <w:tr w:rsidR="00C3709D" w14:paraId="58BF2925" w14:textId="08BDE52F" w:rsidTr="00C3709D">
        <w:tc>
          <w:tcPr>
            <w:tcW w:w="5098" w:type="dxa"/>
          </w:tcPr>
          <w:p w14:paraId="73519B8C" w14:textId="5A51BF44" w:rsidR="00C3709D" w:rsidRDefault="00C3709D" w:rsidP="00FF0886">
            <w:r>
              <w:t>Household Membership</w:t>
            </w:r>
          </w:p>
        </w:tc>
        <w:tc>
          <w:tcPr>
            <w:tcW w:w="1418" w:type="dxa"/>
          </w:tcPr>
          <w:p w14:paraId="1CC94352" w14:textId="7CDBEB87" w:rsidR="00C3709D" w:rsidRDefault="00C3709D" w:rsidP="00FF0886">
            <w:r>
              <w:t>16</w:t>
            </w:r>
          </w:p>
        </w:tc>
        <w:tc>
          <w:tcPr>
            <w:tcW w:w="1417" w:type="dxa"/>
          </w:tcPr>
          <w:p w14:paraId="70286532" w14:textId="1ECA7800" w:rsidR="00C3709D" w:rsidRDefault="00C3709D" w:rsidP="00FF0886">
            <w:r>
              <w:t>19</w:t>
            </w:r>
          </w:p>
        </w:tc>
        <w:tc>
          <w:tcPr>
            <w:tcW w:w="1083" w:type="dxa"/>
          </w:tcPr>
          <w:p w14:paraId="780DEDC0" w14:textId="00A7BB74" w:rsidR="00C3709D" w:rsidRDefault="00C3709D" w:rsidP="00FF0886">
            <w:r>
              <w:t>19</w:t>
            </w:r>
          </w:p>
        </w:tc>
      </w:tr>
      <w:tr w:rsidR="00C3709D" w14:paraId="4512F8D0" w14:textId="4966C900" w:rsidTr="00C3709D">
        <w:tc>
          <w:tcPr>
            <w:tcW w:w="5098" w:type="dxa"/>
          </w:tcPr>
          <w:p w14:paraId="389A658E" w14:textId="3FD8A67C" w:rsidR="00C3709D" w:rsidRDefault="00C3709D" w:rsidP="00FF0886">
            <w:r>
              <w:t>Pre 2022 Pensioner Couples</w:t>
            </w:r>
          </w:p>
        </w:tc>
        <w:tc>
          <w:tcPr>
            <w:tcW w:w="1418" w:type="dxa"/>
          </w:tcPr>
          <w:p w14:paraId="1636CEC2" w14:textId="4A1C1122" w:rsidR="00C3709D" w:rsidRDefault="00C3709D" w:rsidP="00FF0886">
            <w:r>
              <w:t>13</w:t>
            </w:r>
          </w:p>
        </w:tc>
        <w:tc>
          <w:tcPr>
            <w:tcW w:w="1417" w:type="dxa"/>
          </w:tcPr>
          <w:p w14:paraId="4FA6979B" w14:textId="303E41F1" w:rsidR="00C3709D" w:rsidRDefault="00C3709D" w:rsidP="00FF0886">
            <w:r>
              <w:t>17</w:t>
            </w:r>
          </w:p>
        </w:tc>
        <w:tc>
          <w:tcPr>
            <w:tcW w:w="1083" w:type="dxa"/>
          </w:tcPr>
          <w:p w14:paraId="0739CE5C" w14:textId="15651DE7" w:rsidR="00C3709D" w:rsidRDefault="00C3709D" w:rsidP="00FF0886">
            <w:r>
              <w:t>19</w:t>
            </w:r>
          </w:p>
        </w:tc>
      </w:tr>
      <w:tr w:rsidR="00C3709D" w14:paraId="01CE5D53" w14:textId="4FAE4C3A" w:rsidTr="00C3709D">
        <w:tc>
          <w:tcPr>
            <w:tcW w:w="5098" w:type="dxa"/>
          </w:tcPr>
          <w:p w14:paraId="03E025CC" w14:textId="2619DFBD" w:rsidR="00C3709D" w:rsidRDefault="00C3709D" w:rsidP="00FF0886">
            <w:r>
              <w:t>Schools/Colleges/Libraries etc</w:t>
            </w:r>
          </w:p>
        </w:tc>
        <w:tc>
          <w:tcPr>
            <w:tcW w:w="1418" w:type="dxa"/>
          </w:tcPr>
          <w:p w14:paraId="4916BB9B" w14:textId="16616EE7" w:rsidR="00C3709D" w:rsidRDefault="00C3709D" w:rsidP="00FF0886">
            <w:r>
              <w:t>18</w:t>
            </w:r>
          </w:p>
        </w:tc>
        <w:tc>
          <w:tcPr>
            <w:tcW w:w="1417" w:type="dxa"/>
          </w:tcPr>
          <w:p w14:paraId="08280181" w14:textId="147ABA31" w:rsidR="00C3709D" w:rsidRDefault="00C3709D" w:rsidP="00FF0886">
            <w:r>
              <w:t>21</w:t>
            </w:r>
          </w:p>
        </w:tc>
        <w:tc>
          <w:tcPr>
            <w:tcW w:w="1083" w:type="dxa"/>
          </w:tcPr>
          <w:p w14:paraId="6CAF3EBC" w14:textId="64A910AE" w:rsidR="00C3709D" w:rsidRDefault="00C3709D" w:rsidP="00FF0886">
            <w:r>
              <w:t>21</w:t>
            </w:r>
          </w:p>
        </w:tc>
      </w:tr>
      <w:tr w:rsidR="00C3709D" w14:paraId="61337F8A" w14:textId="1A06A132" w:rsidTr="00C3709D">
        <w:tc>
          <w:tcPr>
            <w:tcW w:w="5098" w:type="dxa"/>
          </w:tcPr>
          <w:p w14:paraId="64DEFA1D" w14:textId="0E989872" w:rsidR="00C3709D" w:rsidRDefault="00C3709D" w:rsidP="00FF0886">
            <w:r>
              <w:t>Fulltime students/under18s/registered unemployed</w:t>
            </w:r>
          </w:p>
        </w:tc>
        <w:tc>
          <w:tcPr>
            <w:tcW w:w="1418" w:type="dxa"/>
          </w:tcPr>
          <w:p w14:paraId="592E16E2" w14:textId="44F1E1EA" w:rsidR="00C3709D" w:rsidRDefault="00C3709D" w:rsidP="00FF0886">
            <w:r>
              <w:t>8</w:t>
            </w:r>
          </w:p>
        </w:tc>
        <w:tc>
          <w:tcPr>
            <w:tcW w:w="1417" w:type="dxa"/>
          </w:tcPr>
          <w:p w14:paraId="5830BF9B" w14:textId="2D3B174A" w:rsidR="00C3709D" w:rsidRDefault="00C3709D" w:rsidP="00FF0886">
            <w:r>
              <w:t>10</w:t>
            </w:r>
          </w:p>
        </w:tc>
        <w:tc>
          <w:tcPr>
            <w:tcW w:w="1083" w:type="dxa"/>
          </w:tcPr>
          <w:p w14:paraId="0B62A80D" w14:textId="49FDCADB" w:rsidR="00C3709D" w:rsidRDefault="00C3709D" w:rsidP="00FF0886">
            <w:r>
              <w:t>10</w:t>
            </w:r>
          </w:p>
        </w:tc>
      </w:tr>
      <w:tr w:rsidR="00C3709D" w14:paraId="1633E233" w14:textId="77777777" w:rsidTr="00C3709D">
        <w:tc>
          <w:tcPr>
            <w:tcW w:w="5098" w:type="dxa"/>
          </w:tcPr>
          <w:p w14:paraId="45E47FCA" w14:textId="4AC00582" w:rsidR="00C3709D" w:rsidRDefault="00C3709D" w:rsidP="00FF0886">
            <w:r w:rsidRPr="00C3709D">
              <w:t>Overseas surcharge</w:t>
            </w:r>
          </w:p>
        </w:tc>
        <w:tc>
          <w:tcPr>
            <w:tcW w:w="1418" w:type="dxa"/>
          </w:tcPr>
          <w:p w14:paraId="6A074F55" w14:textId="70AB5A81" w:rsidR="00C3709D" w:rsidRDefault="00C3709D" w:rsidP="00FF0886">
            <w:r>
              <w:t>10</w:t>
            </w:r>
          </w:p>
        </w:tc>
        <w:tc>
          <w:tcPr>
            <w:tcW w:w="1417" w:type="dxa"/>
          </w:tcPr>
          <w:p w14:paraId="357B5FBF" w14:textId="60A44621" w:rsidR="00C3709D" w:rsidRDefault="00C3709D" w:rsidP="00FF0886">
            <w:r>
              <w:t>16</w:t>
            </w:r>
          </w:p>
        </w:tc>
        <w:tc>
          <w:tcPr>
            <w:tcW w:w="1083" w:type="dxa"/>
          </w:tcPr>
          <w:p w14:paraId="5915037E" w14:textId="7BA71B0F" w:rsidR="00C3709D" w:rsidRDefault="00C3709D" w:rsidP="00FF0886">
            <w:r>
              <w:t>16</w:t>
            </w:r>
          </w:p>
        </w:tc>
      </w:tr>
    </w:tbl>
    <w:p w14:paraId="78A09E9C" w14:textId="77777777" w:rsidR="00C3709D" w:rsidRDefault="00C3709D" w:rsidP="00FF0886"/>
    <w:p w14:paraId="2AA0EC4B" w14:textId="77777777" w:rsidR="00C3709D" w:rsidRDefault="00C3709D" w:rsidP="00FF0886"/>
    <w:sectPr w:rsidR="00C37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06A15"/>
    <w:multiLevelType w:val="hybridMultilevel"/>
    <w:tmpl w:val="4FA28828"/>
    <w:lvl w:ilvl="0" w:tplc="63C63A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FD"/>
    <w:rsid w:val="00016105"/>
    <w:rsid w:val="000A620D"/>
    <w:rsid w:val="000D7B67"/>
    <w:rsid w:val="005765D1"/>
    <w:rsid w:val="0069316F"/>
    <w:rsid w:val="007554E0"/>
    <w:rsid w:val="007B49B8"/>
    <w:rsid w:val="00B301EA"/>
    <w:rsid w:val="00BC3AEE"/>
    <w:rsid w:val="00BD5FFD"/>
    <w:rsid w:val="00C3709D"/>
    <w:rsid w:val="00FF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ED77"/>
  <w15:chartTrackingRefBased/>
  <w15:docId w15:val="{4DBDA87D-28D4-4E1F-A190-166C6A6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4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9D"/>
    <w:pPr>
      <w:ind w:left="720"/>
      <w:contextualSpacing/>
    </w:pPr>
  </w:style>
  <w:style w:type="table" w:styleId="TableGrid">
    <w:name w:val="Table Grid"/>
    <w:basedOn w:val="TableNormal"/>
    <w:uiPriority w:val="39"/>
    <w:rsid w:val="00C37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Peagam</dc:creator>
  <cp:keywords/>
  <dc:description/>
  <cp:lastModifiedBy>Martin Peagam</cp:lastModifiedBy>
  <cp:revision>15</cp:revision>
  <dcterms:created xsi:type="dcterms:W3CDTF">2021-06-07T07:47:00Z</dcterms:created>
  <dcterms:modified xsi:type="dcterms:W3CDTF">2021-06-28T07:41:00Z</dcterms:modified>
</cp:coreProperties>
</file>